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94B" w:rsidRPr="001A056D" w:rsidRDefault="009C594B" w:rsidP="009C594B">
      <w:pPr>
        <w:tabs>
          <w:tab w:val="center" w:pos="4680"/>
        </w:tabs>
        <w:jc w:val="center"/>
        <w:rPr>
          <w:rFonts w:ascii="Times New Roman Bold" w:hAnsi="Times New Roman Bold"/>
          <w:b/>
          <w:smallCaps/>
          <w:sz w:val="36"/>
        </w:rPr>
      </w:pPr>
      <w:r w:rsidRPr="001A056D">
        <w:rPr>
          <w:rFonts w:ascii="Times New Roman Bold" w:hAnsi="Times New Roman Bold"/>
          <w:b/>
          <w:smallCaps/>
          <w:sz w:val="36"/>
        </w:rPr>
        <w:t xml:space="preserve">Supply and Delivery of Various Vehicles </w:t>
      </w:r>
    </w:p>
    <w:p w:rsidR="009C594B" w:rsidRPr="001A056D" w:rsidRDefault="009C594B" w:rsidP="009C594B">
      <w:pPr>
        <w:tabs>
          <w:tab w:val="center" w:pos="4680"/>
        </w:tabs>
        <w:jc w:val="center"/>
        <w:rPr>
          <w:b/>
          <w:i/>
          <w:sz w:val="36"/>
        </w:rPr>
      </w:pPr>
      <w:r w:rsidRPr="001A056D">
        <w:rPr>
          <w:rFonts w:ascii="Times New Roman Bold" w:hAnsi="Times New Roman Bold"/>
          <w:b/>
          <w:smallCaps/>
          <w:sz w:val="32"/>
        </w:rPr>
        <w:t>(PEZA-HO-2018-1)</w:t>
      </w:r>
    </w:p>
    <w:p w:rsidR="009C594B" w:rsidRPr="001A056D" w:rsidRDefault="009C594B" w:rsidP="009C594B">
      <w:pPr>
        <w:jc w:val="center"/>
        <w:rPr>
          <w:b/>
        </w:rPr>
      </w:pPr>
    </w:p>
    <w:p w:rsidR="009C594B" w:rsidRPr="001A056D" w:rsidRDefault="009C594B" w:rsidP="009C594B">
      <w:pPr>
        <w:rPr>
          <w:spacing w:val="-2"/>
        </w:rPr>
      </w:pPr>
    </w:p>
    <w:p w:rsidR="009C594B" w:rsidRPr="001A056D" w:rsidRDefault="009C594B" w:rsidP="009C594B">
      <w:pPr>
        <w:numPr>
          <w:ilvl w:val="0"/>
          <w:numId w:val="1"/>
        </w:numPr>
        <w:ind w:left="720" w:hanging="720"/>
        <w:jc w:val="both"/>
        <w:rPr>
          <w:spacing w:val="-2"/>
        </w:rPr>
      </w:pPr>
      <w:r w:rsidRPr="001A056D">
        <w:rPr>
          <w:spacing w:val="-2"/>
        </w:rPr>
        <w:t>The Philippine Economic Zone Authority (PEZA), through its Corporate Operating Budget for CY 2018 intends to apply the following amounts, being the Approved Budget for the Contract (ABC) to payments under the contract for the Supply and Delivery of Various Vehicles:</w:t>
      </w:r>
    </w:p>
    <w:p w:rsidR="009C594B" w:rsidRPr="001A056D" w:rsidRDefault="009C594B" w:rsidP="009C594B">
      <w:pPr>
        <w:ind w:left="720"/>
        <w:rPr>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4059"/>
        <w:gridCol w:w="1040"/>
        <w:gridCol w:w="2171"/>
      </w:tblGrid>
      <w:tr w:rsidR="009C594B" w:rsidRPr="001A056D" w:rsidTr="00894572">
        <w:trPr>
          <w:trHeight w:val="467"/>
        </w:trPr>
        <w:tc>
          <w:tcPr>
            <w:tcW w:w="1057" w:type="dxa"/>
            <w:shd w:val="clear" w:color="auto" w:fill="auto"/>
            <w:vAlign w:val="center"/>
          </w:tcPr>
          <w:p w:rsidR="009C594B" w:rsidRPr="001A056D" w:rsidRDefault="009C594B" w:rsidP="00894572">
            <w:pPr>
              <w:overflowPunct w:val="0"/>
              <w:autoSpaceDE w:val="0"/>
              <w:autoSpaceDN w:val="0"/>
              <w:adjustRightInd w:val="0"/>
              <w:jc w:val="center"/>
              <w:textAlignment w:val="baseline"/>
              <w:rPr>
                <w:spacing w:val="-2"/>
              </w:rPr>
            </w:pPr>
            <w:r w:rsidRPr="001A056D">
              <w:rPr>
                <w:spacing w:val="-2"/>
              </w:rPr>
              <w:t>LOTS</w:t>
            </w:r>
          </w:p>
        </w:tc>
        <w:tc>
          <w:tcPr>
            <w:tcW w:w="4361" w:type="dxa"/>
            <w:shd w:val="clear" w:color="auto" w:fill="auto"/>
            <w:vAlign w:val="center"/>
          </w:tcPr>
          <w:p w:rsidR="009C594B" w:rsidRPr="001A056D" w:rsidRDefault="009C594B" w:rsidP="00894572">
            <w:pPr>
              <w:overflowPunct w:val="0"/>
              <w:autoSpaceDE w:val="0"/>
              <w:autoSpaceDN w:val="0"/>
              <w:adjustRightInd w:val="0"/>
              <w:jc w:val="center"/>
              <w:textAlignment w:val="baseline"/>
              <w:rPr>
                <w:spacing w:val="-2"/>
              </w:rPr>
            </w:pPr>
            <w:r w:rsidRPr="001A056D">
              <w:rPr>
                <w:spacing w:val="-2"/>
              </w:rPr>
              <w:t>ITEMS</w:t>
            </w:r>
          </w:p>
        </w:tc>
        <w:tc>
          <w:tcPr>
            <w:tcW w:w="925" w:type="dxa"/>
            <w:shd w:val="clear" w:color="auto" w:fill="auto"/>
            <w:vAlign w:val="center"/>
          </w:tcPr>
          <w:p w:rsidR="009C594B" w:rsidRPr="001A056D" w:rsidRDefault="009C594B" w:rsidP="00894572">
            <w:pPr>
              <w:overflowPunct w:val="0"/>
              <w:autoSpaceDE w:val="0"/>
              <w:autoSpaceDN w:val="0"/>
              <w:adjustRightInd w:val="0"/>
              <w:jc w:val="center"/>
              <w:textAlignment w:val="baseline"/>
              <w:rPr>
                <w:spacing w:val="-2"/>
              </w:rPr>
            </w:pPr>
            <w:r w:rsidRPr="001A056D">
              <w:rPr>
                <w:spacing w:val="-2"/>
              </w:rPr>
              <w:t>Quantity</w:t>
            </w:r>
          </w:p>
        </w:tc>
        <w:tc>
          <w:tcPr>
            <w:tcW w:w="2182" w:type="dxa"/>
            <w:shd w:val="clear" w:color="auto" w:fill="auto"/>
            <w:vAlign w:val="center"/>
          </w:tcPr>
          <w:p w:rsidR="009C594B" w:rsidRPr="001A056D" w:rsidRDefault="009C594B" w:rsidP="00894572">
            <w:pPr>
              <w:overflowPunct w:val="0"/>
              <w:autoSpaceDE w:val="0"/>
              <w:autoSpaceDN w:val="0"/>
              <w:adjustRightInd w:val="0"/>
              <w:jc w:val="center"/>
              <w:textAlignment w:val="baseline"/>
              <w:rPr>
                <w:spacing w:val="-2"/>
              </w:rPr>
            </w:pPr>
            <w:r w:rsidRPr="001A056D">
              <w:rPr>
                <w:spacing w:val="-2"/>
              </w:rPr>
              <w:t>ABC</w:t>
            </w:r>
          </w:p>
        </w:tc>
      </w:tr>
      <w:tr w:rsidR="009C594B" w:rsidRPr="001A056D" w:rsidTr="00894572">
        <w:tc>
          <w:tcPr>
            <w:tcW w:w="1057" w:type="dxa"/>
            <w:shd w:val="clear" w:color="auto" w:fill="auto"/>
            <w:vAlign w:val="center"/>
          </w:tcPr>
          <w:p w:rsidR="009C594B" w:rsidRPr="001A056D" w:rsidRDefault="009C594B" w:rsidP="00894572">
            <w:pPr>
              <w:overflowPunct w:val="0"/>
              <w:autoSpaceDE w:val="0"/>
              <w:autoSpaceDN w:val="0"/>
              <w:adjustRightInd w:val="0"/>
              <w:jc w:val="center"/>
              <w:textAlignment w:val="baseline"/>
              <w:rPr>
                <w:spacing w:val="-2"/>
              </w:rPr>
            </w:pPr>
            <w:r w:rsidRPr="001A056D">
              <w:rPr>
                <w:spacing w:val="-2"/>
              </w:rPr>
              <w:t>1</w:t>
            </w:r>
          </w:p>
        </w:tc>
        <w:tc>
          <w:tcPr>
            <w:tcW w:w="4361" w:type="dxa"/>
            <w:shd w:val="clear" w:color="auto" w:fill="auto"/>
            <w:vAlign w:val="center"/>
          </w:tcPr>
          <w:p w:rsidR="009C594B" w:rsidRPr="001A056D" w:rsidRDefault="009C594B" w:rsidP="00894572">
            <w:pPr>
              <w:overflowPunct w:val="0"/>
              <w:autoSpaceDE w:val="0"/>
              <w:autoSpaceDN w:val="0"/>
              <w:adjustRightInd w:val="0"/>
              <w:jc w:val="both"/>
              <w:textAlignment w:val="baseline"/>
              <w:rPr>
                <w:spacing w:val="-2"/>
              </w:rPr>
            </w:pPr>
            <w:r w:rsidRPr="001A056D">
              <w:rPr>
                <w:spacing w:val="-2"/>
              </w:rPr>
              <w:t>Asian Utility Vehicle or Crossover Utility Vehicle</w:t>
            </w:r>
          </w:p>
        </w:tc>
        <w:tc>
          <w:tcPr>
            <w:tcW w:w="925" w:type="dxa"/>
            <w:shd w:val="clear" w:color="auto" w:fill="auto"/>
            <w:vAlign w:val="center"/>
          </w:tcPr>
          <w:p w:rsidR="009C594B" w:rsidRPr="001A056D" w:rsidRDefault="009C594B" w:rsidP="00894572">
            <w:pPr>
              <w:overflowPunct w:val="0"/>
              <w:autoSpaceDE w:val="0"/>
              <w:autoSpaceDN w:val="0"/>
              <w:adjustRightInd w:val="0"/>
              <w:jc w:val="center"/>
              <w:textAlignment w:val="baseline"/>
              <w:rPr>
                <w:spacing w:val="-2"/>
              </w:rPr>
            </w:pPr>
            <w:r w:rsidRPr="001A056D">
              <w:rPr>
                <w:spacing w:val="-2"/>
              </w:rPr>
              <w:t>1</w:t>
            </w:r>
          </w:p>
        </w:tc>
        <w:tc>
          <w:tcPr>
            <w:tcW w:w="2182" w:type="dxa"/>
            <w:shd w:val="clear" w:color="auto" w:fill="auto"/>
            <w:vAlign w:val="center"/>
          </w:tcPr>
          <w:p w:rsidR="009C594B" w:rsidRPr="001A056D" w:rsidRDefault="009C594B" w:rsidP="00894572">
            <w:pPr>
              <w:tabs>
                <w:tab w:val="decimal" w:pos="1581"/>
              </w:tabs>
              <w:overflowPunct w:val="0"/>
              <w:autoSpaceDE w:val="0"/>
              <w:autoSpaceDN w:val="0"/>
              <w:adjustRightInd w:val="0"/>
              <w:jc w:val="both"/>
              <w:textAlignment w:val="baseline"/>
              <w:rPr>
                <w:spacing w:val="-2"/>
              </w:rPr>
            </w:pPr>
            <w:proofErr w:type="spellStart"/>
            <w:r w:rsidRPr="001A056D">
              <w:rPr>
                <w:spacing w:val="-2"/>
              </w:rPr>
              <w:t>PhP</w:t>
            </w:r>
            <w:proofErr w:type="spellEnd"/>
            <w:r w:rsidRPr="001A056D">
              <w:rPr>
                <w:spacing w:val="-2"/>
              </w:rPr>
              <w:t xml:space="preserve"> 1,210,000.00</w:t>
            </w:r>
          </w:p>
        </w:tc>
      </w:tr>
      <w:tr w:rsidR="009C594B" w:rsidRPr="001A056D" w:rsidTr="00894572">
        <w:tc>
          <w:tcPr>
            <w:tcW w:w="1057" w:type="dxa"/>
            <w:shd w:val="clear" w:color="auto" w:fill="auto"/>
            <w:vAlign w:val="center"/>
          </w:tcPr>
          <w:p w:rsidR="009C594B" w:rsidRPr="001A056D" w:rsidRDefault="009C594B" w:rsidP="00894572">
            <w:pPr>
              <w:overflowPunct w:val="0"/>
              <w:autoSpaceDE w:val="0"/>
              <w:autoSpaceDN w:val="0"/>
              <w:adjustRightInd w:val="0"/>
              <w:jc w:val="center"/>
              <w:textAlignment w:val="baseline"/>
              <w:rPr>
                <w:spacing w:val="-2"/>
              </w:rPr>
            </w:pPr>
            <w:r w:rsidRPr="001A056D">
              <w:rPr>
                <w:spacing w:val="-2"/>
              </w:rPr>
              <w:t>2</w:t>
            </w:r>
          </w:p>
        </w:tc>
        <w:tc>
          <w:tcPr>
            <w:tcW w:w="4361" w:type="dxa"/>
            <w:shd w:val="clear" w:color="auto" w:fill="auto"/>
            <w:vAlign w:val="center"/>
          </w:tcPr>
          <w:p w:rsidR="009C594B" w:rsidRPr="001A056D" w:rsidRDefault="009C594B" w:rsidP="00894572">
            <w:pPr>
              <w:overflowPunct w:val="0"/>
              <w:autoSpaceDE w:val="0"/>
              <w:autoSpaceDN w:val="0"/>
              <w:adjustRightInd w:val="0"/>
              <w:jc w:val="both"/>
              <w:textAlignment w:val="baseline"/>
              <w:rPr>
                <w:spacing w:val="-2"/>
              </w:rPr>
            </w:pPr>
            <w:r w:rsidRPr="001A056D">
              <w:rPr>
                <w:spacing w:val="-2"/>
              </w:rPr>
              <w:t>Passenger Van</w:t>
            </w:r>
          </w:p>
        </w:tc>
        <w:tc>
          <w:tcPr>
            <w:tcW w:w="925" w:type="dxa"/>
            <w:shd w:val="clear" w:color="auto" w:fill="auto"/>
            <w:vAlign w:val="center"/>
          </w:tcPr>
          <w:p w:rsidR="009C594B" w:rsidRPr="001A056D" w:rsidRDefault="009C594B" w:rsidP="00894572">
            <w:pPr>
              <w:overflowPunct w:val="0"/>
              <w:autoSpaceDE w:val="0"/>
              <w:autoSpaceDN w:val="0"/>
              <w:adjustRightInd w:val="0"/>
              <w:jc w:val="center"/>
              <w:textAlignment w:val="baseline"/>
              <w:rPr>
                <w:spacing w:val="-2"/>
              </w:rPr>
            </w:pPr>
            <w:r w:rsidRPr="001A056D">
              <w:rPr>
                <w:spacing w:val="-2"/>
              </w:rPr>
              <w:t>4</w:t>
            </w:r>
          </w:p>
        </w:tc>
        <w:tc>
          <w:tcPr>
            <w:tcW w:w="2182" w:type="dxa"/>
            <w:shd w:val="clear" w:color="auto" w:fill="auto"/>
            <w:vAlign w:val="center"/>
          </w:tcPr>
          <w:p w:rsidR="009C594B" w:rsidRPr="001A056D" w:rsidRDefault="009C594B" w:rsidP="00894572">
            <w:pPr>
              <w:tabs>
                <w:tab w:val="decimal" w:pos="1581"/>
              </w:tabs>
              <w:overflowPunct w:val="0"/>
              <w:autoSpaceDE w:val="0"/>
              <w:autoSpaceDN w:val="0"/>
              <w:adjustRightInd w:val="0"/>
              <w:jc w:val="both"/>
              <w:textAlignment w:val="baseline"/>
              <w:rPr>
                <w:spacing w:val="-2"/>
              </w:rPr>
            </w:pPr>
            <w:r w:rsidRPr="001A056D">
              <w:rPr>
                <w:spacing w:val="-2"/>
              </w:rPr>
              <w:t>6,000,000.00</w:t>
            </w:r>
          </w:p>
        </w:tc>
      </w:tr>
      <w:tr w:rsidR="009C594B" w:rsidRPr="001A056D" w:rsidTr="00894572">
        <w:tc>
          <w:tcPr>
            <w:tcW w:w="1057" w:type="dxa"/>
            <w:shd w:val="clear" w:color="auto" w:fill="auto"/>
            <w:vAlign w:val="center"/>
          </w:tcPr>
          <w:p w:rsidR="009C594B" w:rsidRPr="001A056D" w:rsidRDefault="009C594B" w:rsidP="00894572">
            <w:pPr>
              <w:overflowPunct w:val="0"/>
              <w:autoSpaceDE w:val="0"/>
              <w:autoSpaceDN w:val="0"/>
              <w:adjustRightInd w:val="0"/>
              <w:jc w:val="center"/>
              <w:textAlignment w:val="baseline"/>
              <w:rPr>
                <w:spacing w:val="-2"/>
              </w:rPr>
            </w:pPr>
            <w:r w:rsidRPr="001A056D">
              <w:rPr>
                <w:spacing w:val="-2"/>
              </w:rPr>
              <w:t>3</w:t>
            </w:r>
          </w:p>
        </w:tc>
        <w:tc>
          <w:tcPr>
            <w:tcW w:w="4361" w:type="dxa"/>
            <w:shd w:val="clear" w:color="auto" w:fill="auto"/>
            <w:vAlign w:val="center"/>
          </w:tcPr>
          <w:p w:rsidR="009C594B" w:rsidRPr="001A056D" w:rsidRDefault="009C594B" w:rsidP="00894572">
            <w:pPr>
              <w:overflowPunct w:val="0"/>
              <w:autoSpaceDE w:val="0"/>
              <w:autoSpaceDN w:val="0"/>
              <w:adjustRightInd w:val="0"/>
              <w:jc w:val="both"/>
              <w:textAlignment w:val="baseline"/>
              <w:rPr>
                <w:spacing w:val="-2"/>
              </w:rPr>
            </w:pPr>
            <w:r w:rsidRPr="001A056D">
              <w:rPr>
                <w:spacing w:val="-2"/>
              </w:rPr>
              <w:t>Pick-Up Vehicle</w:t>
            </w:r>
          </w:p>
        </w:tc>
        <w:tc>
          <w:tcPr>
            <w:tcW w:w="925" w:type="dxa"/>
            <w:shd w:val="clear" w:color="auto" w:fill="auto"/>
            <w:vAlign w:val="center"/>
          </w:tcPr>
          <w:p w:rsidR="009C594B" w:rsidRPr="001A056D" w:rsidRDefault="009C594B" w:rsidP="00894572">
            <w:pPr>
              <w:overflowPunct w:val="0"/>
              <w:autoSpaceDE w:val="0"/>
              <w:autoSpaceDN w:val="0"/>
              <w:adjustRightInd w:val="0"/>
              <w:jc w:val="center"/>
              <w:textAlignment w:val="baseline"/>
              <w:rPr>
                <w:spacing w:val="-2"/>
              </w:rPr>
            </w:pPr>
            <w:r w:rsidRPr="001A056D">
              <w:rPr>
                <w:spacing w:val="-2"/>
              </w:rPr>
              <w:t>1</w:t>
            </w:r>
          </w:p>
        </w:tc>
        <w:tc>
          <w:tcPr>
            <w:tcW w:w="2182" w:type="dxa"/>
            <w:shd w:val="clear" w:color="auto" w:fill="auto"/>
            <w:vAlign w:val="center"/>
          </w:tcPr>
          <w:p w:rsidR="009C594B" w:rsidRPr="001A056D" w:rsidRDefault="009C594B" w:rsidP="00894572">
            <w:pPr>
              <w:tabs>
                <w:tab w:val="decimal" w:pos="1581"/>
              </w:tabs>
              <w:overflowPunct w:val="0"/>
              <w:autoSpaceDE w:val="0"/>
              <w:autoSpaceDN w:val="0"/>
              <w:adjustRightInd w:val="0"/>
              <w:jc w:val="both"/>
              <w:textAlignment w:val="baseline"/>
              <w:rPr>
                <w:spacing w:val="-2"/>
              </w:rPr>
            </w:pPr>
            <w:r w:rsidRPr="001A056D">
              <w:rPr>
                <w:spacing w:val="-2"/>
              </w:rPr>
              <w:t>1,200,000.00</w:t>
            </w:r>
          </w:p>
        </w:tc>
      </w:tr>
      <w:tr w:rsidR="009C594B" w:rsidRPr="001A056D" w:rsidTr="00894572">
        <w:tc>
          <w:tcPr>
            <w:tcW w:w="1057" w:type="dxa"/>
            <w:shd w:val="clear" w:color="auto" w:fill="auto"/>
            <w:vAlign w:val="center"/>
          </w:tcPr>
          <w:p w:rsidR="009C594B" w:rsidRPr="001A056D" w:rsidRDefault="009C594B" w:rsidP="00894572">
            <w:pPr>
              <w:overflowPunct w:val="0"/>
              <w:autoSpaceDE w:val="0"/>
              <w:autoSpaceDN w:val="0"/>
              <w:adjustRightInd w:val="0"/>
              <w:jc w:val="center"/>
              <w:textAlignment w:val="baseline"/>
              <w:rPr>
                <w:spacing w:val="-2"/>
              </w:rPr>
            </w:pPr>
            <w:r w:rsidRPr="001A056D">
              <w:rPr>
                <w:spacing w:val="-2"/>
              </w:rPr>
              <w:t>4</w:t>
            </w:r>
          </w:p>
        </w:tc>
        <w:tc>
          <w:tcPr>
            <w:tcW w:w="4361" w:type="dxa"/>
            <w:shd w:val="clear" w:color="auto" w:fill="auto"/>
            <w:vAlign w:val="center"/>
          </w:tcPr>
          <w:p w:rsidR="009C594B" w:rsidRPr="001A056D" w:rsidRDefault="009C594B" w:rsidP="00894572">
            <w:pPr>
              <w:overflowPunct w:val="0"/>
              <w:autoSpaceDE w:val="0"/>
              <w:autoSpaceDN w:val="0"/>
              <w:adjustRightInd w:val="0"/>
              <w:jc w:val="both"/>
              <w:textAlignment w:val="baseline"/>
              <w:rPr>
                <w:spacing w:val="-2"/>
              </w:rPr>
            </w:pPr>
            <w:r w:rsidRPr="001A056D">
              <w:rPr>
                <w:spacing w:val="-2"/>
              </w:rPr>
              <w:t>Delivery/Closed Van</w:t>
            </w:r>
          </w:p>
        </w:tc>
        <w:tc>
          <w:tcPr>
            <w:tcW w:w="925" w:type="dxa"/>
            <w:shd w:val="clear" w:color="auto" w:fill="auto"/>
            <w:vAlign w:val="center"/>
          </w:tcPr>
          <w:p w:rsidR="009C594B" w:rsidRPr="001A056D" w:rsidRDefault="009C594B" w:rsidP="00894572">
            <w:pPr>
              <w:overflowPunct w:val="0"/>
              <w:autoSpaceDE w:val="0"/>
              <w:autoSpaceDN w:val="0"/>
              <w:adjustRightInd w:val="0"/>
              <w:jc w:val="center"/>
              <w:textAlignment w:val="baseline"/>
              <w:rPr>
                <w:spacing w:val="-2"/>
              </w:rPr>
            </w:pPr>
            <w:r w:rsidRPr="001A056D">
              <w:rPr>
                <w:spacing w:val="-2"/>
              </w:rPr>
              <w:t>1</w:t>
            </w:r>
          </w:p>
        </w:tc>
        <w:tc>
          <w:tcPr>
            <w:tcW w:w="2182" w:type="dxa"/>
            <w:shd w:val="clear" w:color="auto" w:fill="auto"/>
            <w:vAlign w:val="center"/>
          </w:tcPr>
          <w:p w:rsidR="009C594B" w:rsidRPr="001A056D" w:rsidRDefault="009C594B" w:rsidP="00894572">
            <w:pPr>
              <w:tabs>
                <w:tab w:val="decimal" w:pos="1581"/>
              </w:tabs>
              <w:overflowPunct w:val="0"/>
              <w:autoSpaceDE w:val="0"/>
              <w:autoSpaceDN w:val="0"/>
              <w:adjustRightInd w:val="0"/>
              <w:jc w:val="both"/>
              <w:textAlignment w:val="baseline"/>
              <w:rPr>
                <w:spacing w:val="-2"/>
              </w:rPr>
            </w:pPr>
            <w:r w:rsidRPr="001A056D">
              <w:rPr>
                <w:spacing w:val="-2"/>
              </w:rPr>
              <w:t>900,000.00</w:t>
            </w:r>
          </w:p>
        </w:tc>
      </w:tr>
      <w:tr w:rsidR="009C594B" w:rsidRPr="001A056D" w:rsidTr="00894572">
        <w:tc>
          <w:tcPr>
            <w:tcW w:w="1057" w:type="dxa"/>
            <w:shd w:val="clear" w:color="auto" w:fill="auto"/>
            <w:vAlign w:val="center"/>
          </w:tcPr>
          <w:p w:rsidR="009C594B" w:rsidRPr="001A056D" w:rsidRDefault="009C594B" w:rsidP="00894572">
            <w:pPr>
              <w:overflowPunct w:val="0"/>
              <w:autoSpaceDE w:val="0"/>
              <w:autoSpaceDN w:val="0"/>
              <w:adjustRightInd w:val="0"/>
              <w:jc w:val="center"/>
              <w:textAlignment w:val="baseline"/>
              <w:rPr>
                <w:spacing w:val="-2"/>
              </w:rPr>
            </w:pPr>
            <w:r w:rsidRPr="001A056D">
              <w:rPr>
                <w:spacing w:val="-2"/>
              </w:rPr>
              <w:t>5</w:t>
            </w:r>
          </w:p>
        </w:tc>
        <w:tc>
          <w:tcPr>
            <w:tcW w:w="4361" w:type="dxa"/>
            <w:shd w:val="clear" w:color="auto" w:fill="auto"/>
            <w:vAlign w:val="center"/>
          </w:tcPr>
          <w:p w:rsidR="009C594B" w:rsidRPr="001A056D" w:rsidRDefault="009C594B" w:rsidP="00894572">
            <w:pPr>
              <w:overflowPunct w:val="0"/>
              <w:autoSpaceDE w:val="0"/>
              <w:autoSpaceDN w:val="0"/>
              <w:adjustRightInd w:val="0"/>
              <w:jc w:val="both"/>
              <w:textAlignment w:val="baseline"/>
              <w:rPr>
                <w:spacing w:val="-2"/>
              </w:rPr>
            </w:pPr>
            <w:r w:rsidRPr="001A056D">
              <w:rPr>
                <w:spacing w:val="-2"/>
              </w:rPr>
              <w:t>Motorcycle</w:t>
            </w:r>
          </w:p>
        </w:tc>
        <w:tc>
          <w:tcPr>
            <w:tcW w:w="925" w:type="dxa"/>
            <w:shd w:val="clear" w:color="auto" w:fill="auto"/>
            <w:vAlign w:val="center"/>
          </w:tcPr>
          <w:p w:rsidR="009C594B" w:rsidRPr="001A056D" w:rsidRDefault="009C594B" w:rsidP="00894572">
            <w:pPr>
              <w:overflowPunct w:val="0"/>
              <w:autoSpaceDE w:val="0"/>
              <w:autoSpaceDN w:val="0"/>
              <w:adjustRightInd w:val="0"/>
              <w:jc w:val="center"/>
              <w:textAlignment w:val="baseline"/>
              <w:rPr>
                <w:spacing w:val="-2"/>
              </w:rPr>
            </w:pPr>
            <w:r w:rsidRPr="001A056D">
              <w:rPr>
                <w:spacing w:val="-2"/>
              </w:rPr>
              <w:t>3</w:t>
            </w:r>
          </w:p>
        </w:tc>
        <w:tc>
          <w:tcPr>
            <w:tcW w:w="2182" w:type="dxa"/>
            <w:shd w:val="clear" w:color="auto" w:fill="auto"/>
            <w:vAlign w:val="center"/>
          </w:tcPr>
          <w:p w:rsidR="009C594B" w:rsidRPr="001A056D" w:rsidRDefault="009C594B" w:rsidP="00894572">
            <w:pPr>
              <w:tabs>
                <w:tab w:val="decimal" w:pos="1581"/>
              </w:tabs>
              <w:overflowPunct w:val="0"/>
              <w:autoSpaceDE w:val="0"/>
              <w:autoSpaceDN w:val="0"/>
              <w:adjustRightInd w:val="0"/>
              <w:jc w:val="both"/>
              <w:textAlignment w:val="baseline"/>
              <w:rPr>
                <w:spacing w:val="-2"/>
              </w:rPr>
            </w:pPr>
            <w:r w:rsidRPr="001A056D">
              <w:rPr>
                <w:spacing w:val="-2"/>
              </w:rPr>
              <w:t>210,000.00</w:t>
            </w:r>
          </w:p>
        </w:tc>
      </w:tr>
    </w:tbl>
    <w:p w:rsidR="009C594B" w:rsidRPr="001A056D" w:rsidRDefault="009C594B" w:rsidP="009C594B">
      <w:pPr>
        <w:ind w:left="720"/>
        <w:rPr>
          <w:spacing w:val="-2"/>
        </w:rPr>
      </w:pPr>
    </w:p>
    <w:p w:rsidR="009C594B" w:rsidRPr="001A056D" w:rsidRDefault="009C594B" w:rsidP="009C594B">
      <w:pPr>
        <w:ind w:left="720"/>
        <w:jc w:val="both"/>
        <w:rPr>
          <w:spacing w:val="-2"/>
        </w:rPr>
      </w:pPr>
      <w:r w:rsidRPr="001A056D">
        <w:rPr>
          <w:spacing w:val="-2"/>
        </w:rPr>
        <w:t xml:space="preserve">Bids received in excess of the ABC </w:t>
      </w:r>
      <w:proofErr w:type="gramStart"/>
      <w:r w:rsidRPr="001A056D">
        <w:rPr>
          <w:spacing w:val="-2"/>
        </w:rPr>
        <w:t>shall be automatically rejected</w:t>
      </w:r>
      <w:proofErr w:type="gramEnd"/>
      <w:r w:rsidRPr="001A056D">
        <w:rPr>
          <w:spacing w:val="-2"/>
        </w:rPr>
        <w:t xml:space="preserve"> at bid opening.</w:t>
      </w:r>
    </w:p>
    <w:p w:rsidR="009C594B" w:rsidRPr="001A056D" w:rsidRDefault="009C594B" w:rsidP="009C594B">
      <w:pPr>
        <w:ind w:left="720"/>
        <w:rPr>
          <w:spacing w:val="-2"/>
        </w:rPr>
      </w:pPr>
    </w:p>
    <w:p w:rsidR="009C594B" w:rsidRPr="001A056D" w:rsidRDefault="009C594B" w:rsidP="009C594B">
      <w:pPr>
        <w:numPr>
          <w:ilvl w:val="0"/>
          <w:numId w:val="1"/>
        </w:numPr>
        <w:ind w:left="720" w:hanging="720"/>
        <w:jc w:val="both"/>
        <w:rPr>
          <w:spacing w:val="-2"/>
        </w:rPr>
      </w:pPr>
      <w:r w:rsidRPr="001A056D">
        <w:rPr>
          <w:spacing w:val="-2"/>
        </w:rPr>
        <w:t>The PEZA now invites bids for the supply and delivery of various vehicles.</w:t>
      </w:r>
      <w:r w:rsidRPr="001A056D">
        <w:rPr>
          <w:rStyle w:val="FootnoteReference"/>
        </w:rPr>
        <w:t xml:space="preserve">  </w:t>
      </w:r>
      <w:r w:rsidRPr="001A056D">
        <w:rPr>
          <w:spacing w:val="-2"/>
        </w:rPr>
        <w:t xml:space="preserve">Delivery of the Goods is required within </w:t>
      </w:r>
      <w:proofErr w:type="gramStart"/>
      <w:r w:rsidRPr="001A056D">
        <w:rPr>
          <w:spacing w:val="-2"/>
        </w:rPr>
        <w:t>thirty (30)</w:t>
      </w:r>
      <w:proofErr w:type="gramEnd"/>
      <w:r w:rsidRPr="001A056D">
        <w:rPr>
          <w:spacing w:val="-2"/>
        </w:rPr>
        <w:t xml:space="preserve"> calendar days. Bidders should have completed, within three (3) years from the date of submission and receipt of bids, a contract similar to the Project. The description of an eligible bidder is contained in the Bidding Documents, particularly, in Section II. Instructions to Bidders.</w:t>
      </w:r>
    </w:p>
    <w:p w:rsidR="009C594B" w:rsidRPr="001A056D" w:rsidRDefault="009C594B" w:rsidP="009C594B">
      <w:pPr>
        <w:ind w:left="720"/>
        <w:rPr>
          <w:spacing w:val="-2"/>
        </w:rPr>
      </w:pPr>
    </w:p>
    <w:p w:rsidR="009C594B" w:rsidRPr="001A056D" w:rsidRDefault="009C594B" w:rsidP="009C594B">
      <w:pPr>
        <w:numPr>
          <w:ilvl w:val="0"/>
          <w:numId w:val="1"/>
        </w:numPr>
        <w:ind w:left="720" w:hanging="720"/>
        <w:jc w:val="both"/>
        <w:rPr>
          <w:spacing w:val="-2"/>
        </w:rPr>
      </w:pPr>
      <w:r w:rsidRPr="001A056D">
        <w:rPr>
          <w:spacing w:val="-2"/>
        </w:rPr>
        <w:t xml:space="preserve">Bidding </w:t>
      </w:r>
      <w:proofErr w:type="gramStart"/>
      <w:r w:rsidRPr="001A056D">
        <w:rPr>
          <w:spacing w:val="-2"/>
        </w:rPr>
        <w:t>will be conducted</w:t>
      </w:r>
      <w:proofErr w:type="gramEnd"/>
      <w:r w:rsidRPr="001A056D">
        <w:rPr>
          <w:spacing w:val="-2"/>
        </w:rPr>
        <w:t xml:space="preserve"> through open competitive bidding procedures using a non-discretionary “pass/fail” criterion as specified in the 2016 Revised Implementing Rules and Regulations (IRR) of Republic Act (RA) 9184, otherwise known as the “Government Procurement Reform Act”.</w:t>
      </w:r>
    </w:p>
    <w:p w:rsidR="009C594B" w:rsidRPr="001A056D" w:rsidRDefault="009C594B" w:rsidP="009C594B">
      <w:pPr>
        <w:ind w:left="720"/>
        <w:rPr>
          <w:b/>
          <w:i/>
          <w:spacing w:val="-2"/>
        </w:rPr>
      </w:pPr>
    </w:p>
    <w:p w:rsidR="009C594B" w:rsidRPr="001A056D" w:rsidRDefault="009C594B" w:rsidP="009C594B">
      <w:pPr>
        <w:numPr>
          <w:ilvl w:val="0"/>
          <w:numId w:val="1"/>
        </w:numPr>
        <w:ind w:left="720" w:hanging="720"/>
        <w:jc w:val="both"/>
        <w:rPr>
          <w:spacing w:val="-2"/>
        </w:rPr>
      </w:pPr>
      <w:r w:rsidRPr="001A056D">
        <w:rPr>
          <w:spacing w:val="-2"/>
        </w:rPr>
        <w:t xml:space="preserve">Bidding is restricted to Filipino citizens/sole proprietorships, partnerships, or organizations with at least sixty percent (60%) interest or outstanding capital stock belonging to citizens of the Philippines, and to citizens or organizations of a </w:t>
      </w:r>
      <w:proofErr w:type="gramStart"/>
      <w:r w:rsidRPr="001A056D">
        <w:rPr>
          <w:spacing w:val="-2"/>
        </w:rPr>
        <w:t>country</w:t>
      </w:r>
      <w:proofErr w:type="gramEnd"/>
      <w:r w:rsidRPr="001A056D">
        <w:rPr>
          <w:spacing w:val="-2"/>
        </w:rPr>
        <w:t xml:space="preserve"> the laws or regulations of which grant similar rights or privileges to Filipino citizens, pursuant to RA 5183. </w:t>
      </w:r>
    </w:p>
    <w:p w:rsidR="009C594B" w:rsidRPr="001A056D" w:rsidRDefault="009C594B" w:rsidP="009C594B">
      <w:pPr>
        <w:ind w:left="720" w:hanging="720"/>
        <w:rPr>
          <w:spacing w:val="-2"/>
        </w:rPr>
      </w:pPr>
    </w:p>
    <w:p w:rsidR="009C594B" w:rsidRPr="001A056D" w:rsidRDefault="009C594B" w:rsidP="009C594B">
      <w:pPr>
        <w:numPr>
          <w:ilvl w:val="0"/>
          <w:numId w:val="1"/>
        </w:numPr>
        <w:ind w:left="720" w:hanging="720"/>
        <w:jc w:val="both"/>
        <w:rPr>
          <w:spacing w:val="-2"/>
        </w:rPr>
      </w:pPr>
      <w:r w:rsidRPr="001A056D">
        <w:rPr>
          <w:spacing w:val="-2"/>
        </w:rPr>
        <w:t>Interested bidders may obtain further information from PEZA and inspect the Bidding Documents at the address given below from 8:00 a.m. to 5:00 p.m.</w:t>
      </w:r>
    </w:p>
    <w:p w:rsidR="009C594B" w:rsidRPr="001A056D" w:rsidRDefault="009C594B" w:rsidP="009C594B">
      <w:pPr>
        <w:ind w:left="720"/>
        <w:rPr>
          <w:spacing w:val="-2"/>
        </w:rPr>
      </w:pPr>
    </w:p>
    <w:p w:rsidR="009C594B" w:rsidRPr="001A056D" w:rsidRDefault="009C594B" w:rsidP="009C594B">
      <w:pPr>
        <w:numPr>
          <w:ilvl w:val="0"/>
          <w:numId w:val="1"/>
        </w:numPr>
        <w:ind w:left="720" w:hanging="720"/>
        <w:jc w:val="both"/>
        <w:rPr>
          <w:spacing w:val="-2"/>
        </w:rPr>
      </w:pPr>
      <w:proofErr w:type="gramStart"/>
      <w:r w:rsidRPr="001A056D">
        <w:rPr>
          <w:spacing w:val="-2"/>
        </w:rPr>
        <w:t>A complete set of Bidding Documents may be acquired by interested Bidders on 29 August 2018 from the address below and upon payment of the applicable fee for the Bidding Documents, pursuant to the latest Guidelines issued by the GPPB, in the amount of P10,000.00 for Lot 2; P5,000.00 each for Lots 1 &amp; 3; P1,000.00 for Lot 4; and P500.00 for Lot 5.</w:t>
      </w:r>
      <w:proofErr w:type="gramEnd"/>
    </w:p>
    <w:p w:rsidR="009C594B" w:rsidRPr="001A056D" w:rsidRDefault="009C594B" w:rsidP="009C594B">
      <w:pPr>
        <w:ind w:left="720"/>
        <w:rPr>
          <w:spacing w:val="-2"/>
        </w:rPr>
      </w:pPr>
    </w:p>
    <w:p w:rsidR="009C594B" w:rsidRPr="001A056D" w:rsidRDefault="009C594B" w:rsidP="009C594B">
      <w:pPr>
        <w:ind w:left="720"/>
        <w:jc w:val="both"/>
        <w:rPr>
          <w:spacing w:val="-2"/>
        </w:rPr>
      </w:pPr>
      <w:r w:rsidRPr="001A056D">
        <w:rPr>
          <w:spacing w:val="-2"/>
        </w:rPr>
        <w:t>It may also be downloaded free of charge from the website of the Philippine Government Electronic Procurement System (</w:t>
      </w:r>
      <w:proofErr w:type="spellStart"/>
      <w:r w:rsidRPr="001A056D">
        <w:rPr>
          <w:spacing w:val="-2"/>
        </w:rPr>
        <w:t>PhilGEPS</w:t>
      </w:r>
      <w:proofErr w:type="spellEnd"/>
      <w:r w:rsidRPr="001A056D">
        <w:rPr>
          <w:spacing w:val="-2"/>
        </w:rPr>
        <w:t>) and the website of the Procuring Entity</w:t>
      </w:r>
      <w:r w:rsidRPr="001A056D">
        <w:rPr>
          <w:i/>
          <w:spacing w:val="-2"/>
        </w:rPr>
        <w:t xml:space="preserve">, </w:t>
      </w:r>
      <w:r w:rsidRPr="001A056D">
        <w:rPr>
          <w:spacing w:val="-2"/>
        </w:rPr>
        <w:lastRenderedPageBreak/>
        <w:t>provided that Bidders shall pay the applicable fee for the Bidding Documents not later than the submission of their bids.</w:t>
      </w:r>
    </w:p>
    <w:p w:rsidR="009C594B" w:rsidRPr="001A056D" w:rsidRDefault="009C594B" w:rsidP="009C594B">
      <w:pPr>
        <w:ind w:left="720"/>
        <w:rPr>
          <w:spacing w:val="-2"/>
        </w:rPr>
      </w:pPr>
    </w:p>
    <w:p w:rsidR="009C594B" w:rsidRPr="001A056D" w:rsidRDefault="009C594B" w:rsidP="009C594B">
      <w:pPr>
        <w:numPr>
          <w:ilvl w:val="0"/>
          <w:numId w:val="1"/>
        </w:numPr>
        <w:ind w:left="720" w:hanging="720"/>
        <w:jc w:val="both"/>
        <w:rPr>
          <w:spacing w:val="-2"/>
        </w:rPr>
      </w:pPr>
      <w:r w:rsidRPr="001A056D">
        <w:rPr>
          <w:spacing w:val="-2"/>
        </w:rPr>
        <w:t>The PEZA will hold a Pre-Bid Conference on 06 September 2018 at the 5</w:t>
      </w:r>
      <w:r w:rsidRPr="001A056D">
        <w:rPr>
          <w:spacing w:val="-2"/>
          <w:vertAlign w:val="superscript"/>
        </w:rPr>
        <w:t>th</w:t>
      </w:r>
      <w:r w:rsidRPr="001A056D">
        <w:rPr>
          <w:spacing w:val="-2"/>
        </w:rPr>
        <w:t xml:space="preserve"> Floor, Bldg. 5, DOE-PNOC Complex (Energy Center), Rizal Drive, </w:t>
      </w:r>
      <w:proofErr w:type="spellStart"/>
      <w:r w:rsidRPr="001A056D">
        <w:rPr>
          <w:spacing w:val="-2"/>
        </w:rPr>
        <w:t>Bonifacio</w:t>
      </w:r>
      <w:proofErr w:type="spellEnd"/>
      <w:r w:rsidRPr="001A056D">
        <w:rPr>
          <w:spacing w:val="-2"/>
        </w:rPr>
        <w:t xml:space="preserve"> Global City, </w:t>
      </w:r>
      <w:proofErr w:type="spellStart"/>
      <w:r w:rsidRPr="001A056D">
        <w:rPr>
          <w:spacing w:val="-2"/>
        </w:rPr>
        <w:t>Taguig</w:t>
      </w:r>
      <w:proofErr w:type="spellEnd"/>
      <w:r w:rsidRPr="001A056D">
        <w:rPr>
          <w:spacing w:val="-2"/>
        </w:rPr>
        <w:t>, which shall be open to prospective bidders</w:t>
      </w:r>
    </w:p>
    <w:p w:rsidR="009C594B" w:rsidRPr="001A056D" w:rsidRDefault="009C594B" w:rsidP="009C594B">
      <w:pPr>
        <w:ind w:left="720"/>
        <w:jc w:val="both"/>
        <w:rPr>
          <w:spacing w:val="-2"/>
        </w:rPr>
      </w:pPr>
    </w:p>
    <w:p w:rsidR="009C594B" w:rsidRPr="001A056D" w:rsidRDefault="009C594B" w:rsidP="009C594B">
      <w:pPr>
        <w:numPr>
          <w:ilvl w:val="0"/>
          <w:numId w:val="1"/>
        </w:numPr>
        <w:ind w:left="720" w:hanging="720"/>
        <w:jc w:val="both"/>
        <w:rPr>
          <w:spacing w:val="-2"/>
        </w:rPr>
      </w:pPr>
      <w:r w:rsidRPr="001A056D">
        <w:rPr>
          <w:spacing w:val="-2"/>
        </w:rPr>
        <w:t xml:space="preserve">Bids </w:t>
      </w:r>
      <w:proofErr w:type="gramStart"/>
      <w:r w:rsidRPr="001A056D">
        <w:rPr>
          <w:spacing w:val="-2"/>
        </w:rPr>
        <w:t>must be duly received</w:t>
      </w:r>
      <w:proofErr w:type="gramEnd"/>
      <w:r w:rsidRPr="001A056D">
        <w:rPr>
          <w:spacing w:val="-2"/>
        </w:rPr>
        <w:t xml:space="preserve"> by the BAC Secretariat at the address below on or before 11:00 a.m. 18 September 2018.  All Bids </w:t>
      </w:r>
      <w:proofErr w:type="gramStart"/>
      <w:r w:rsidRPr="001A056D">
        <w:rPr>
          <w:spacing w:val="-2"/>
        </w:rPr>
        <w:t>must be accompanied</w:t>
      </w:r>
      <w:proofErr w:type="gramEnd"/>
      <w:r w:rsidRPr="001A056D">
        <w:rPr>
          <w:spacing w:val="-2"/>
        </w:rPr>
        <w:t xml:space="preserve"> by a bid security in any of the acceptable forms and in the amount stated in </w:t>
      </w:r>
      <w:r w:rsidRPr="001A056D">
        <w:rPr>
          <w:b/>
          <w:spacing w:val="-2"/>
        </w:rPr>
        <w:t>ITB</w:t>
      </w:r>
      <w:r w:rsidRPr="001A056D">
        <w:rPr>
          <w:spacing w:val="-2"/>
        </w:rPr>
        <w:t xml:space="preserve"> Clause </w:t>
      </w:r>
      <w:r w:rsidRPr="001A056D">
        <w:rPr>
          <w:spacing w:val="-2"/>
        </w:rPr>
        <w:fldChar w:fldCharType="begin"/>
      </w:r>
      <w:r w:rsidRPr="001A056D">
        <w:rPr>
          <w:spacing w:val="-2"/>
        </w:rPr>
        <w:instrText xml:space="preserve"> REF _Ref100724286 \r \h </w:instrText>
      </w:r>
      <w:r w:rsidRPr="001A056D">
        <w:rPr>
          <w:spacing w:val="-2"/>
        </w:rPr>
      </w:r>
      <w:r w:rsidRPr="001A056D">
        <w:rPr>
          <w:spacing w:val="-2"/>
        </w:rPr>
        <w:instrText xml:space="preserve"> \* MERGEFORMAT </w:instrText>
      </w:r>
      <w:r w:rsidRPr="001A056D">
        <w:rPr>
          <w:spacing w:val="-2"/>
        </w:rPr>
        <w:fldChar w:fldCharType="separate"/>
      </w:r>
      <w:r w:rsidRPr="001A056D">
        <w:rPr>
          <w:spacing w:val="-2"/>
        </w:rPr>
        <w:t>18</w:t>
      </w:r>
      <w:r w:rsidRPr="001A056D">
        <w:rPr>
          <w:spacing w:val="-2"/>
        </w:rPr>
        <w:fldChar w:fldCharType="end"/>
      </w:r>
      <w:r w:rsidRPr="001A056D">
        <w:rPr>
          <w:spacing w:val="-2"/>
        </w:rPr>
        <w:t xml:space="preserve">. </w:t>
      </w:r>
    </w:p>
    <w:p w:rsidR="009C594B" w:rsidRPr="001A056D" w:rsidRDefault="009C594B" w:rsidP="009C594B">
      <w:pPr>
        <w:ind w:left="720"/>
        <w:rPr>
          <w:spacing w:val="-2"/>
        </w:rPr>
      </w:pPr>
    </w:p>
    <w:p w:rsidR="009C594B" w:rsidRPr="001A056D" w:rsidRDefault="009C594B" w:rsidP="009C594B">
      <w:pPr>
        <w:ind w:left="720"/>
        <w:jc w:val="both"/>
        <w:rPr>
          <w:spacing w:val="-2"/>
        </w:rPr>
      </w:pPr>
      <w:r w:rsidRPr="001A056D">
        <w:rPr>
          <w:spacing w:val="-2"/>
        </w:rPr>
        <w:t>Bid opening shall be on 18 September 2018, 2:00 p.m. at the 5</w:t>
      </w:r>
      <w:r w:rsidRPr="001A056D">
        <w:rPr>
          <w:spacing w:val="-2"/>
          <w:vertAlign w:val="superscript"/>
        </w:rPr>
        <w:t>th</w:t>
      </w:r>
      <w:r w:rsidRPr="001A056D">
        <w:rPr>
          <w:spacing w:val="-2"/>
        </w:rPr>
        <w:t xml:space="preserve"> Floor, Bldg. 5, DOE-PNOC Complex (Energy Center), Rizal Drive, </w:t>
      </w:r>
      <w:proofErr w:type="spellStart"/>
      <w:r w:rsidRPr="001A056D">
        <w:rPr>
          <w:spacing w:val="-2"/>
        </w:rPr>
        <w:t>Bonifacio</w:t>
      </w:r>
      <w:proofErr w:type="spellEnd"/>
      <w:r w:rsidRPr="001A056D">
        <w:rPr>
          <w:spacing w:val="-2"/>
        </w:rPr>
        <w:t xml:space="preserve"> Global City, </w:t>
      </w:r>
      <w:proofErr w:type="spellStart"/>
      <w:r w:rsidRPr="001A056D">
        <w:rPr>
          <w:spacing w:val="-2"/>
        </w:rPr>
        <w:t>Taguig</w:t>
      </w:r>
      <w:proofErr w:type="spellEnd"/>
      <w:r w:rsidRPr="001A056D">
        <w:rPr>
          <w:spacing w:val="-2"/>
        </w:rPr>
        <w:t xml:space="preserve">.  Bids </w:t>
      </w:r>
      <w:proofErr w:type="gramStart"/>
      <w:r w:rsidRPr="001A056D">
        <w:rPr>
          <w:spacing w:val="-2"/>
        </w:rPr>
        <w:t>will be opened</w:t>
      </w:r>
      <w:proofErr w:type="gramEnd"/>
      <w:r w:rsidRPr="001A056D">
        <w:rPr>
          <w:spacing w:val="-2"/>
        </w:rPr>
        <w:t xml:space="preserve"> in the presence of the bidders’ representatives who choose to attend at the address below. Late bids </w:t>
      </w:r>
      <w:proofErr w:type="gramStart"/>
      <w:r w:rsidRPr="001A056D">
        <w:rPr>
          <w:spacing w:val="-2"/>
        </w:rPr>
        <w:t>shall not be accepted</w:t>
      </w:r>
      <w:proofErr w:type="gramEnd"/>
      <w:r w:rsidRPr="001A056D">
        <w:rPr>
          <w:spacing w:val="-2"/>
        </w:rPr>
        <w:t>.</w:t>
      </w:r>
    </w:p>
    <w:p w:rsidR="009C594B" w:rsidRPr="001A056D" w:rsidRDefault="009C594B" w:rsidP="009C594B">
      <w:pPr>
        <w:rPr>
          <w:i/>
          <w:spacing w:val="-2"/>
        </w:rPr>
      </w:pPr>
    </w:p>
    <w:p w:rsidR="009C594B" w:rsidRPr="001A056D" w:rsidRDefault="009C594B" w:rsidP="009C594B">
      <w:pPr>
        <w:numPr>
          <w:ilvl w:val="0"/>
          <w:numId w:val="1"/>
        </w:numPr>
        <w:ind w:left="720" w:hanging="720"/>
        <w:jc w:val="both"/>
        <w:rPr>
          <w:spacing w:val="-2"/>
        </w:rPr>
      </w:pPr>
      <w:r w:rsidRPr="001A056D">
        <w:rPr>
          <w:spacing w:val="-2"/>
        </w:rPr>
        <w:t xml:space="preserve">In case any of the above dates </w:t>
      </w:r>
      <w:proofErr w:type="gramStart"/>
      <w:r w:rsidRPr="001A056D">
        <w:rPr>
          <w:spacing w:val="-2"/>
        </w:rPr>
        <w:t>is declared</w:t>
      </w:r>
      <w:proofErr w:type="gramEnd"/>
      <w:r w:rsidRPr="001A056D">
        <w:rPr>
          <w:spacing w:val="-2"/>
        </w:rPr>
        <w:t xml:space="preserve"> as a special non-working holiday, it shall automatically be moved to the next working day.</w:t>
      </w:r>
    </w:p>
    <w:p w:rsidR="009C594B" w:rsidRPr="001A056D" w:rsidRDefault="009C594B" w:rsidP="009C594B"/>
    <w:p w:rsidR="009C594B" w:rsidRPr="001A056D" w:rsidRDefault="009C594B" w:rsidP="009C594B">
      <w:pPr>
        <w:numPr>
          <w:ilvl w:val="0"/>
          <w:numId w:val="1"/>
        </w:numPr>
        <w:ind w:left="720" w:hanging="720"/>
        <w:jc w:val="both"/>
        <w:rPr>
          <w:spacing w:val="-2"/>
        </w:rPr>
      </w:pPr>
      <w:r w:rsidRPr="001A056D">
        <w:t>The PEZA</w:t>
      </w:r>
      <w:r w:rsidRPr="001A056D">
        <w:rPr>
          <w:i/>
          <w:spacing w:val="-2"/>
        </w:rPr>
        <w:t xml:space="preserve"> </w:t>
      </w:r>
      <w:r w:rsidRPr="001A056D">
        <w:rPr>
          <w:spacing w:val="-2"/>
        </w:rPr>
        <w:t>reserves</w:t>
      </w:r>
      <w:r w:rsidRPr="001A056D">
        <w:t xml:space="preserve"> the right to reject </w:t>
      </w:r>
      <w:proofErr w:type="gramStart"/>
      <w:r w:rsidRPr="001A056D">
        <w:t>any and all</w:t>
      </w:r>
      <w:proofErr w:type="gramEnd"/>
      <w:r w:rsidRPr="001A056D">
        <w:t xml:space="preserve"> bids, declare a failure of bidding, or not award the contract at any time prior to contract award in accordance with Section 41 of RA 9184 and its IRR, without thereby incurring any liability to the affected bidder or bidders.</w:t>
      </w:r>
    </w:p>
    <w:p w:rsidR="009C594B" w:rsidRPr="001A056D" w:rsidRDefault="009C594B" w:rsidP="009C594B">
      <w:pPr>
        <w:ind w:left="720"/>
        <w:rPr>
          <w:spacing w:val="-2"/>
        </w:rPr>
      </w:pPr>
    </w:p>
    <w:p w:rsidR="009C594B" w:rsidRPr="001A056D" w:rsidRDefault="009C594B" w:rsidP="009C594B">
      <w:pPr>
        <w:numPr>
          <w:ilvl w:val="0"/>
          <w:numId w:val="1"/>
        </w:numPr>
        <w:ind w:left="720" w:hanging="720"/>
        <w:rPr>
          <w:spacing w:val="-2"/>
        </w:rPr>
      </w:pPr>
      <w:r w:rsidRPr="001A056D">
        <w:rPr>
          <w:spacing w:val="-2"/>
        </w:rPr>
        <w:t>For further information, please refer to:</w:t>
      </w:r>
    </w:p>
    <w:p w:rsidR="009C594B" w:rsidRPr="001A056D" w:rsidRDefault="009C594B" w:rsidP="009C594B">
      <w:pPr>
        <w:rPr>
          <w:spacing w:val="-2"/>
        </w:rPr>
      </w:pPr>
    </w:p>
    <w:p w:rsidR="009C594B" w:rsidRPr="001A056D" w:rsidRDefault="009C594B" w:rsidP="009C594B">
      <w:pPr>
        <w:ind w:left="810"/>
        <w:rPr>
          <w:spacing w:val="-2"/>
        </w:rPr>
      </w:pPr>
      <w:r w:rsidRPr="001A056D">
        <w:rPr>
          <w:spacing w:val="-2"/>
        </w:rPr>
        <w:t>Philippine Economic Zone Authority</w:t>
      </w:r>
    </w:p>
    <w:p w:rsidR="009C594B" w:rsidRPr="001A056D" w:rsidRDefault="009C594B" w:rsidP="009C594B">
      <w:pPr>
        <w:ind w:left="810"/>
        <w:rPr>
          <w:spacing w:val="-2"/>
        </w:rPr>
      </w:pPr>
      <w:r w:rsidRPr="001A056D">
        <w:rPr>
          <w:spacing w:val="-2"/>
        </w:rPr>
        <w:t>Bids and Awards Committee Secretariat</w:t>
      </w:r>
    </w:p>
    <w:p w:rsidR="009C594B" w:rsidRPr="001A056D" w:rsidRDefault="009C594B" w:rsidP="009C594B">
      <w:pPr>
        <w:ind w:left="810"/>
        <w:rPr>
          <w:spacing w:val="-2"/>
        </w:rPr>
      </w:pPr>
      <w:proofErr w:type="gramStart"/>
      <w:r w:rsidRPr="001A056D">
        <w:rPr>
          <w:spacing w:val="-2"/>
        </w:rPr>
        <w:t>5</w:t>
      </w:r>
      <w:r w:rsidRPr="001A056D">
        <w:rPr>
          <w:spacing w:val="-2"/>
          <w:vertAlign w:val="superscript"/>
        </w:rPr>
        <w:t>th</w:t>
      </w:r>
      <w:proofErr w:type="gramEnd"/>
      <w:r w:rsidRPr="001A056D">
        <w:rPr>
          <w:spacing w:val="-2"/>
        </w:rPr>
        <w:t xml:space="preserve"> Floor, Bldg. 5, DOE-PNOC Complex (Energy Center) </w:t>
      </w:r>
    </w:p>
    <w:p w:rsidR="009C594B" w:rsidRPr="001A056D" w:rsidRDefault="009C594B" w:rsidP="009C594B">
      <w:pPr>
        <w:ind w:left="810"/>
        <w:rPr>
          <w:spacing w:val="-2"/>
        </w:rPr>
      </w:pPr>
      <w:r w:rsidRPr="001A056D">
        <w:rPr>
          <w:spacing w:val="-2"/>
        </w:rPr>
        <w:t xml:space="preserve">Rizal Drive, </w:t>
      </w:r>
      <w:proofErr w:type="spellStart"/>
      <w:r w:rsidRPr="001A056D">
        <w:rPr>
          <w:spacing w:val="-2"/>
        </w:rPr>
        <w:t>Bonifacio</w:t>
      </w:r>
      <w:proofErr w:type="spellEnd"/>
      <w:r w:rsidRPr="001A056D">
        <w:rPr>
          <w:spacing w:val="-2"/>
        </w:rPr>
        <w:t xml:space="preserve"> Global </w:t>
      </w:r>
      <w:proofErr w:type="spellStart"/>
      <w:r w:rsidRPr="001A056D">
        <w:rPr>
          <w:spacing w:val="-2"/>
        </w:rPr>
        <w:t>Ciy</w:t>
      </w:r>
      <w:proofErr w:type="spellEnd"/>
      <w:r w:rsidRPr="001A056D">
        <w:rPr>
          <w:spacing w:val="-2"/>
        </w:rPr>
        <w:t xml:space="preserve">, </w:t>
      </w:r>
      <w:proofErr w:type="spellStart"/>
      <w:r w:rsidRPr="001A056D">
        <w:rPr>
          <w:spacing w:val="-2"/>
        </w:rPr>
        <w:t>Taguig</w:t>
      </w:r>
      <w:proofErr w:type="spellEnd"/>
      <w:r w:rsidRPr="001A056D">
        <w:rPr>
          <w:spacing w:val="-2"/>
        </w:rPr>
        <w:t xml:space="preserve"> 1634</w:t>
      </w:r>
    </w:p>
    <w:p w:rsidR="009C594B" w:rsidRPr="001A056D" w:rsidRDefault="009C594B" w:rsidP="009C594B">
      <w:pPr>
        <w:ind w:left="810"/>
        <w:rPr>
          <w:spacing w:val="-2"/>
        </w:rPr>
      </w:pPr>
      <w:r w:rsidRPr="001A056D">
        <w:rPr>
          <w:spacing w:val="-2"/>
        </w:rPr>
        <w:t xml:space="preserve">Email: </w:t>
      </w:r>
      <w:hyperlink r:id="rId5" w:history="1">
        <w:r w:rsidRPr="001A056D">
          <w:rPr>
            <w:rStyle w:val="Hyperlink"/>
            <w:spacing w:val="-2"/>
          </w:rPr>
          <w:t>bac@peza.gov.ph</w:t>
        </w:r>
      </w:hyperlink>
    </w:p>
    <w:p w:rsidR="009C594B" w:rsidRPr="001A056D" w:rsidRDefault="009C594B" w:rsidP="009C594B">
      <w:pPr>
        <w:ind w:left="810"/>
        <w:rPr>
          <w:spacing w:val="-2"/>
        </w:rPr>
      </w:pPr>
      <w:r w:rsidRPr="001A056D">
        <w:rPr>
          <w:spacing w:val="-2"/>
        </w:rPr>
        <w:t>Telefax No. 551-3440</w:t>
      </w:r>
    </w:p>
    <w:p w:rsidR="009C594B" w:rsidRPr="001A056D" w:rsidRDefault="009C594B" w:rsidP="009C594B">
      <w:pPr>
        <w:ind w:left="810"/>
        <w:rPr>
          <w:spacing w:val="-2"/>
        </w:rPr>
      </w:pPr>
      <w:r w:rsidRPr="001A056D">
        <w:rPr>
          <w:spacing w:val="-2"/>
        </w:rPr>
        <w:t>Tel. No. 551-3440 local 213</w:t>
      </w:r>
    </w:p>
    <w:p w:rsidR="009C594B" w:rsidRPr="001A056D" w:rsidRDefault="009C594B" w:rsidP="009C594B">
      <w:pPr>
        <w:ind w:left="810"/>
      </w:pPr>
      <w:hyperlink r:id="rId6" w:history="1">
        <w:r w:rsidRPr="001A056D">
          <w:rPr>
            <w:rStyle w:val="Hyperlink"/>
            <w:spacing w:val="-2"/>
          </w:rPr>
          <w:t>www.peza.gov.ph</w:t>
        </w:r>
      </w:hyperlink>
    </w:p>
    <w:p w:rsidR="009C594B" w:rsidRPr="001A056D" w:rsidRDefault="009C594B" w:rsidP="009C594B"/>
    <w:p w:rsidR="009C594B" w:rsidRPr="001A056D" w:rsidRDefault="009C594B" w:rsidP="009C594B"/>
    <w:p w:rsidR="009C594B" w:rsidRPr="001A056D" w:rsidRDefault="009C594B" w:rsidP="009C594B">
      <w:pPr>
        <w:spacing w:before="240"/>
        <w:ind w:left="5040"/>
        <w:jc w:val="center"/>
        <w:rPr>
          <w:u w:val="single"/>
        </w:rPr>
      </w:pPr>
      <w:r w:rsidRPr="001A056D">
        <w:rPr>
          <w:b/>
          <w:szCs w:val="24"/>
        </w:rPr>
        <w:t>(Sgd.)</w:t>
      </w:r>
    </w:p>
    <w:p w:rsidR="009C594B" w:rsidRPr="001A056D" w:rsidRDefault="009C594B" w:rsidP="009C594B">
      <w:pPr>
        <w:ind w:left="5040"/>
        <w:jc w:val="center"/>
        <w:rPr>
          <w:b/>
          <w:szCs w:val="24"/>
        </w:rPr>
      </w:pPr>
      <w:r w:rsidRPr="001A056D">
        <w:rPr>
          <w:b/>
          <w:szCs w:val="24"/>
        </w:rPr>
        <w:t>TERESO O. PANGA</w:t>
      </w:r>
    </w:p>
    <w:p w:rsidR="009C594B" w:rsidRPr="001A056D" w:rsidRDefault="009C594B" w:rsidP="009C594B">
      <w:pPr>
        <w:ind w:left="5040"/>
        <w:jc w:val="center"/>
        <w:rPr>
          <w:szCs w:val="24"/>
        </w:rPr>
      </w:pPr>
      <w:r w:rsidRPr="001A056D">
        <w:rPr>
          <w:szCs w:val="24"/>
        </w:rPr>
        <w:t>BAC Chairperson</w:t>
      </w:r>
    </w:p>
    <w:p w:rsidR="001749FF" w:rsidRDefault="001749FF">
      <w:bookmarkStart w:id="0" w:name="_GoBack"/>
      <w:bookmarkEnd w:id="0"/>
    </w:p>
    <w:sectPr w:rsidR="001749FF" w:rsidSect="00B4585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96"/>
    <w:rsid w:val="001749FF"/>
    <w:rsid w:val="00462396"/>
    <w:rsid w:val="009C594B"/>
    <w:rsid w:val="00B4585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318DA-AE3C-46B5-8EF7-A8A9CBC2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94B"/>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594B"/>
    <w:rPr>
      <w:b/>
      <w:color w:val="auto"/>
      <w:u w:val="single"/>
    </w:rPr>
  </w:style>
  <w:style w:type="character" w:styleId="FootnoteReference">
    <w:name w:val="footnote reference"/>
    <w:uiPriority w:val="99"/>
    <w:semiHidden/>
    <w:rsid w:val="009C594B"/>
    <w:rPr>
      <w:position w:val="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za.gov.ph" TargetMode="External"/><Relationship Id="rId5" Type="http://schemas.openxmlformats.org/officeDocument/2006/relationships/hyperlink" Target="mailto:bac@pez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Company>Philippine Economic Zone Authority</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 Ogali</dc:creator>
  <cp:keywords/>
  <dc:description/>
  <cp:lastModifiedBy>Christopher N. Ogali</cp:lastModifiedBy>
  <cp:revision>2</cp:revision>
  <dcterms:created xsi:type="dcterms:W3CDTF">2018-08-28T03:36:00Z</dcterms:created>
  <dcterms:modified xsi:type="dcterms:W3CDTF">2018-08-28T03:36:00Z</dcterms:modified>
</cp:coreProperties>
</file>